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36A9" w14:textId="5740D4E0" w:rsidR="001A2A2A" w:rsidRDefault="000A4FB5" w:rsidP="001A2A2A">
      <w:pPr>
        <w:jc w:val="center"/>
        <w:rPr>
          <w:b/>
        </w:rPr>
      </w:pPr>
      <w:r>
        <w:rPr>
          <w:b/>
        </w:rPr>
        <w:t>TERMS &amp; CONDITIONS</w:t>
      </w:r>
      <w:r w:rsidR="001A2A2A">
        <w:rPr>
          <w:b/>
        </w:rPr>
        <w:br/>
      </w:r>
      <w:r>
        <w:rPr>
          <w:b/>
        </w:rPr>
        <w:tab/>
      </w:r>
    </w:p>
    <w:p w14:paraId="01F0B1E9" w14:textId="5497AF8C" w:rsidR="001A2A2A" w:rsidRPr="00F25557" w:rsidRDefault="001A2A2A" w:rsidP="001A2A2A">
      <w:pPr>
        <w:rPr>
          <w:szCs w:val="24"/>
        </w:rPr>
      </w:pPr>
      <w:r>
        <w:t xml:space="preserve">1. </w:t>
      </w:r>
      <w:r w:rsidR="000A4FB5">
        <w:rPr>
          <w:szCs w:val="24"/>
        </w:rPr>
        <w:t xml:space="preserve">The </w:t>
      </w:r>
      <w:r w:rsidRPr="00F25557">
        <w:rPr>
          <w:szCs w:val="24"/>
        </w:rPr>
        <w:t>agreed hire fee must be paid before a booking can be confirmed.</w:t>
      </w:r>
    </w:p>
    <w:p w14:paraId="09E5FA2F" w14:textId="77777777" w:rsidR="001A2A2A" w:rsidRPr="00F25557" w:rsidRDefault="001A2A2A" w:rsidP="001A2A2A">
      <w:pPr>
        <w:rPr>
          <w:szCs w:val="24"/>
        </w:rPr>
      </w:pPr>
      <w:r w:rsidRPr="00F25557">
        <w:rPr>
          <w:szCs w:val="24"/>
        </w:rPr>
        <w:t>2. The hire fee is non-returnable unless the hiring is cancelled by the Management Committee.</w:t>
      </w:r>
    </w:p>
    <w:p w14:paraId="56BB9BF1" w14:textId="77777777" w:rsidR="001A2A2A" w:rsidRPr="00F25557" w:rsidRDefault="001A2A2A" w:rsidP="001A2A2A">
      <w:pPr>
        <w:rPr>
          <w:szCs w:val="24"/>
        </w:rPr>
      </w:pPr>
      <w:r w:rsidRPr="00F25557">
        <w:rPr>
          <w:szCs w:val="24"/>
        </w:rPr>
        <w:t>3. An extension of the hire period can often be arranged but must be confirmed by the Booking Secretary. An additional hire fee will be charged.</w:t>
      </w:r>
    </w:p>
    <w:p w14:paraId="765A463A" w14:textId="77777777" w:rsidR="001A2A2A" w:rsidRPr="00F25557" w:rsidRDefault="001A2A2A" w:rsidP="001A2A2A">
      <w:pPr>
        <w:rPr>
          <w:szCs w:val="24"/>
        </w:rPr>
      </w:pPr>
      <w:r w:rsidRPr="00F25557">
        <w:rPr>
          <w:szCs w:val="24"/>
        </w:rPr>
        <w:t>4. The Booking Secretary must be notified before the event if there is any change in the nature of the event or in the details set out in Sections 1 or 2.</w:t>
      </w:r>
    </w:p>
    <w:p w14:paraId="00452040" w14:textId="77777777" w:rsidR="001A2A2A" w:rsidRDefault="001A2A2A" w:rsidP="001A2A2A">
      <w:r w:rsidRPr="00F25557">
        <w:rPr>
          <w:szCs w:val="24"/>
        </w:rPr>
        <w:t>5. During the hire period, the hirer shall be entitled to use the main room and kitchen upstairs (the Rooms) and to share the use of the outside staircase and toilets and showers upstairs except in the case of overnight sleepovers when the hirer shall have the exclusive use of the outside staircase and toilets and showers upstairs. The whole of the ground floor</w:t>
      </w:r>
      <w:r>
        <w:t xml:space="preserve"> of the building and the outside area </w:t>
      </w:r>
      <w:proofErr w:type="gramStart"/>
      <w:r>
        <w:t>are</w:t>
      </w:r>
      <w:proofErr w:type="gramEnd"/>
      <w:r>
        <w:t xml:space="preserve"> not included in the hire and must not be used, except in an emergency or unless specifically agreed through the Booking Secretary.</w:t>
      </w:r>
    </w:p>
    <w:p w14:paraId="76F2F06B" w14:textId="77777777" w:rsidR="001A2A2A" w:rsidRDefault="001A2A2A" w:rsidP="001A2A2A">
      <w:r>
        <w:t>6. The rooms and the whole of the area comprising the Boathouse must be vacated by 12.00 midnight.</w:t>
      </w:r>
    </w:p>
    <w:p w14:paraId="60FE296A" w14:textId="77777777" w:rsidR="001A2A2A" w:rsidRDefault="001A2A2A" w:rsidP="001A2A2A">
      <w:r>
        <w:t xml:space="preserve">7. Subject to any lower figures which the Management Committee may impose for Health and Safety reasons, the maximum number of persons permitted in the rooms at </w:t>
      </w:r>
      <w:r w:rsidRPr="00B21EA3">
        <w:t>any one time is 60</w:t>
      </w:r>
      <w:r>
        <w:t xml:space="preserve">.  However, when </w:t>
      </w:r>
      <w:r w:rsidRPr="00B21EA3">
        <w:t>the rooms are being used for sleeping</w:t>
      </w:r>
      <w:r>
        <w:t xml:space="preserve"> the limit is</w:t>
      </w:r>
      <w:r w:rsidRPr="00B21EA3">
        <w:t xml:space="preserve"> 20</w:t>
      </w:r>
      <w:r>
        <w:t xml:space="preserve"> for all hirers except for those from the Guide Association</w:t>
      </w:r>
      <w:r w:rsidRPr="00B21EA3">
        <w:t xml:space="preserve"> </w:t>
      </w:r>
      <w:r>
        <w:t>where the limit is 16</w:t>
      </w:r>
      <w:r w:rsidRPr="00B21EA3">
        <w:t xml:space="preserve">. </w:t>
      </w:r>
      <w:r>
        <w:t>The emergency exits must always remain clear, and the hirer is responsible for making known to all users the evacuation and safety procedures which are displayed in the rooms.</w:t>
      </w:r>
    </w:p>
    <w:p w14:paraId="1187A8FE" w14:textId="77777777" w:rsidR="001A2A2A" w:rsidRDefault="001A2A2A" w:rsidP="001A2A2A">
      <w:r>
        <w:t xml:space="preserve">8. The whole of the area comprising the Boathouse, including the building and the outside area, is a NO SMOKING area. </w:t>
      </w:r>
    </w:p>
    <w:p w14:paraId="1C6AD7D1" w14:textId="77777777" w:rsidR="001A2A2A" w:rsidRDefault="001A2A2A" w:rsidP="001A2A2A">
      <w:r>
        <w:t>9. The building is largely constructed of wood, and no naked flames (such as candles) are permitted in the building or any other part of the area comprising the Boathouse.</w:t>
      </w:r>
    </w:p>
    <w:p w14:paraId="49E6219A" w14:textId="77777777" w:rsidR="001A2A2A" w:rsidRDefault="001A2A2A" w:rsidP="001A2A2A">
      <w:r>
        <w:t>10. The hirer must obtain and pay for any licence required for music, dancing, the display of any film or video or the sale of alcoholic drinks, including ticketed events which include alcoholic drinks.</w:t>
      </w:r>
    </w:p>
    <w:p w14:paraId="1CA3DF06" w14:textId="77777777" w:rsidR="001A2A2A" w:rsidRDefault="001A2A2A" w:rsidP="001A2A2A">
      <w:r>
        <w:lastRenderedPageBreak/>
        <w:t>11. The hirer shall use the rooms solely for the purpose specified in Section 2 and shall not cause any nuisance or annoyance to the owners or occupiers of any nearby properties or boats. No noise audible outside the building is permitted after 23.00 hrs.</w:t>
      </w:r>
    </w:p>
    <w:p w14:paraId="55AFA6FF" w14:textId="75635867" w:rsidR="001A2A2A" w:rsidRDefault="001A2A2A" w:rsidP="001A2A2A">
      <w:r>
        <w:t>12. Any rearrangement of the equipment furniture and fittings in the rooms and any decoration of the rooms must be agreed with the Booking Secretary before the event takes place. At the end of the hire period the hirer shall reinstate any equipment furniture and fittings which they have rearranged, remove all decorations which they have put up, remove all their own equipment belongings and rubbish, make good any damage done and leave the rooms in a clean and tidy condition.  Cleaning materials are held in the locked cupboard in the out lobby.  The code f</w:t>
      </w:r>
      <w:r w:rsidR="000A4FB5">
        <w:t>or</w:t>
      </w:r>
      <w:r>
        <w:t xml:space="preserve"> the lock is 2017</w:t>
      </w:r>
    </w:p>
    <w:p w14:paraId="4EA658DB" w14:textId="77777777" w:rsidR="001A2A2A" w:rsidRDefault="001A2A2A" w:rsidP="001A2A2A">
      <w:r>
        <w:t>13. The hirer shall be responsible for the conduct of all persons using the rooms under the hiring and for any loss of or damage to the rooms, services, equipment, furniture, fittings or other property in the rooms or any other part of the area comprising the Boathouse which occurs or arises out of the hiring (other than loss or damage caused by an act or omission of the Management Committee). Any damage or defects must be recorded in the book provided.</w:t>
      </w:r>
    </w:p>
    <w:p w14:paraId="5EABA9B1" w14:textId="77777777" w:rsidR="001A2A2A" w:rsidRDefault="001A2A2A" w:rsidP="001A2A2A">
      <w:r>
        <w:t>14. The hirer shall use the rooms entirely at their own risk, and the Management Committee shall not be responsible for the death of or injury to any person or the loss of or any damage to any property which occurs or arises out of the hiring (other than loss or damage caused by an act or omission of the Management Committee), and the hirer shall indemnify the Management Committee against any claim or liability for any such death injury loss or damage. The hirer shall have public liability and other insurance against such death injury loss or damage and shall produce evidence of such insurance to the Management Committee on request. All accidents must be recorded in the book provided.</w:t>
      </w:r>
    </w:p>
    <w:p w14:paraId="7A99C6DC" w14:textId="77777777" w:rsidR="001A2A2A" w:rsidRPr="00B011DA" w:rsidRDefault="001A2A2A" w:rsidP="001A2A2A">
      <w:pPr>
        <w:rPr>
          <w:i/>
          <w:iCs/>
        </w:rPr>
      </w:pPr>
      <w:r w:rsidRPr="00B011DA">
        <w:rPr>
          <w:i/>
          <w:iCs/>
        </w:rPr>
        <w:t>15 It is the hirers responsibility to ensure that any occupancy arrangements e.g. safeguarding regarding sleeping arrangements comply with their relevant organisations’ rules and policies</w:t>
      </w:r>
    </w:p>
    <w:p w14:paraId="786EE4C6" w14:textId="2A5065CB" w:rsidR="001A2A2A" w:rsidRDefault="001A2A2A" w:rsidP="001A2A2A">
      <w:r>
        <w:t>16. Please note that the Boathouse is within the Clean Air Zone of the City, and charges will be incurred by any vehicle which is not exempt.</w:t>
      </w:r>
    </w:p>
    <w:p w14:paraId="514B6DB3" w14:textId="67119F29" w:rsidR="001A2A2A" w:rsidRPr="001F4973" w:rsidRDefault="001A2A2A" w:rsidP="001A2A2A">
      <w:r w:rsidRPr="00B95455">
        <w:t>17 The Boathouse does not have either a television licence or Wi-Fi connection</w:t>
      </w:r>
    </w:p>
    <w:p w14:paraId="628FBFBE" w14:textId="0368988B" w:rsidR="001A2A2A" w:rsidRPr="001F4973" w:rsidRDefault="001A2A2A" w:rsidP="0060653F">
      <w:r>
        <w:t xml:space="preserve"> </w:t>
      </w:r>
    </w:p>
    <w:p w14:paraId="796688A7" w14:textId="7BE53F6F" w:rsidR="001A2A2A" w:rsidRDefault="005B3383">
      <w:r>
        <w:rPr>
          <w:noProof/>
          <w14:ligatures w14:val="standardContextual"/>
        </w:rPr>
        <mc:AlternateContent>
          <mc:Choice Requires="wps">
            <w:drawing>
              <wp:anchor distT="0" distB="0" distL="114300" distR="114300" simplePos="0" relativeHeight="251668480" behindDoc="0" locked="0" layoutInCell="1" allowOverlap="1" wp14:anchorId="24BF87A0" wp14:editId="10D309AA">
                <wp:simplePos x="0" y="0"/>
                <wp:positionH relativeFrom="column">
                  <wp:posOffset>1898650</wp:posOffset>
                </wp:positionH>
                <wp:positionV relativeFrom="paragraph">
                  <wp:posOffset>1793240</wp:posOffset>
                </wp:positionV>
                <wp:extent cx="2101850" cy="342900"/>
                <wp:effectExtent l="0" t="0" r="12700" b="19050"/>
                <wp:wrapNone/>
                <wp:docPr id="677706749" name="Text Box 1"/>
                <wp:cNvGraphicFramePr/>
                <a:graphic xmlns:a="http://schemas.openxmlformats.org/drawingml/2006/main">
                  <a:graphicData uri="http://schemas.microsoft.com/office/word/2010/wordprocessingShape">
                    <wps:wsp>
                      <wps:cNvSpPr txBox="1"/>
                      <wps:spPr>
                        <a:xfrm>
                          <a:off x="0" y="0"/>
                          <a:ext cx="2101850" cy="342900"/>
                        </a:xfrm>
                        <a:prstGeom prst="rect">
                          <a:avLst/>
                        </a:prstGeom>
                        <a:solidFill>
                          <a:schemeClr val="lt1"/>
                        </a:solidFill>
                        <a:ln w="6350">
                          <a:solidFill>
                            <a:prstClr val="black"/>
                          </a:solidFill>
                        </a:ln>
                      </wps:spPr>
                      <wps:txbx>
                        <w:txbxContent>
                          <w:p w14:paraId="5B207ECE" w14:textId="07CB7F85" w:rsidR="005B3383" w:rsidRDefault="005B3383" w:rsidP="005B3383">
                            <w:pPr>
                              <w:jc w:val="center"/>
                            </w:pPr>
                            <w:r w:rsidRPr="005B3383">
                              <w:rPr>
                                <w:highlight w:val="yellow"/>
                              </w:rPr>
                              <w:t xml:space="preserve">Version </w:t>
                            </w:r>
                            <w:r w:rsidR="00134F6B">
                              <w:t>3.</w:t>
                            </w:r>
                            <w:r w:rsidR="00DA4826">
                              <w:t>1</w:t>
                            </w:r>
                            <w:r w:rsidR="00134F6B">
                              <w:t xml:space="preserve"> 20261216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BF87A0" id="Text Box 1" o:spid="_x0000_s1031" type="#_x0000_t202" style="position:absolute;margin-left:149.5pt;margin-top:141.2pt;width:165.5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" fillcolor="white [3201]" strokeweight=".5pt">
                <v:textbox>
                  <w:txbxContent>
                    <w:p w14:paraId="5B207ECE" w14:textId="07CB7F85" w:rsidR="005B3383" w:rsidRDefault="005B3383" w:rsidP="005B3383">
                      <w:pPr>
                        <w:jc w:val="center"/>
                      </w:pPr>
                      <w:r w:rsidRPr="005B3383">
                        <w:rPr>
                          <w:highlight w:val="yellow"/>
                        </w:rPr>
                        <w:t xml:space="preserve">Version </w:t>
                      </w:r>
                      <w:r w:rsidR="00134F6B">
                        <w:t>3.</w:t>
                      </w:r>
                      <w:r w:rsidR="00DA4826">
                        <w:t>1</w:t>
                      </w:r>
                      <w:r w:rsidR="00134F6B">
                        <w:t xml:space="preserve"> 20261216</w:t>
                      </w:r>
                    </w:p>
                  </w:txbxContent>
                </v:textbox>
              </v:shape>
            </w:pict>
          </mc:Fallback>
        </mc:AlternateContent>
      </w:r>
    </w:p>
    <w:sectPr w:rsidR="001A2A2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079E" w14:textId="77777777" w:rsidR="002C50B5" w:rsidRDefault="002C50B5" w:rsidP="001A2A2A">
      <w:pPr>
        <w:spacing w:after="0" w:line="240" w:lineRule="auto"/>
      </w:pPr>
      <w:r>
        <w:separator/>
      </w:r>
    </w:p>
  </w:endnote>
  <w:endnote w:type="continuationSeparator" w:id="0">
    <w:p w14:paraId="2BA1B4C5" w14:textId="77777777" w:rsidR="002C50B5" w:rsidRDefault="002C50B5" w:rsidP="001A2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60008615"/>
      <w:docPartObj>
        <w:docPartGallery w:val="Page Numbers (Bottom of Page)"/>
        <w:docPartUnique/>
      </w:docPartObj>
    </w:sdtPr>
    <w:sdtContent>
      <w:sdt>
        <w:sdtPr>
          <w:rPr>
            <w:sz w:val="18"/>
            <w:szCs w:val="18"/>
          </w:rPr>
          <w:id w:val="-1705238520"/>
          <w:docPartObj>
            <w:docPartGallery w:val="Page Numbers (Top of Page)"/>
            <w:docPartUnique/>
          </w:docPartObj>
        </w:sdtPr>
        <w:sdtContent>
          <w:p w14:paraId="2FDD0050" w14:textId="60C60A5B" w:rsidR="001A2A2A" w:rsidRPr="001A2A2A" w:rsidRDefault="001A2A2A" w:rsidP="001A2A2A">
            <w:pPr>
              <w:pStyle w:val="Footer"/>
              <w:jc w:val="center"/>
              <w:rPr>
                <w:sz w:val="18"/>
                <w:szCs w:val="18"/>
              </w:rPr>
            </w:pPr>
            <w:r w:rsidRPr="001A2A2A">
              <w:rPr>
                <w:sz w:val="18"/>
                <w:szCs w:val="18"/>
              </w:rPr>
              <w:t xml:space="preserve">Page </w:t>
            </w:r>
            <w:r w:rsidRPr="001A2A2A">
              <w:rPr>
                <w:b/>
                <w:bCs/>
                <w:sz w:val="18"/>
                <w:szCs w:val="18"/>
              </w:rPr>
              <w:fldChar w:fldCharType="begin"/>
            </w:r>
            <w:r w:rsidRPr="001A2A2A">
              <w:rPr>
                <w:b/>
                <w:bCs/>
                <w:sz w:val="18"/>
                <w:szCs w:val="18"/>
              </w:rPr>
              <w:instrText>PAGE</w:instrText>
            </w:r>
            <w:r w:rsidRPr="001A2A2A">
              <w:rPr>
                <w:b/>
                <w:bCs/>
                <w:sz w:val="18"/>
                <w:szCs w:val="18"/>
              </w:rPr>
              <w:fldChar w:fldCharType="separate"/>
            </w:r>
            <w:r w:rsidRPr="001A2A2A">
              <w:rPr>
                <w:b/>
                <w:bCs/>
                <w:sz w:val="18"/>
                <w:szCs w:val="18"/>
              </w:rPr>
              <w:t>2</w:t>
            </w:r>
            <w:r w:rsidRPr="001A2A2A">
              <w:rPr>
                <w:b/>
                <w:bCs/>
                <w:sz w:val="18"/>
                <w:szCs w:val="18"/>
              </w:rPr>
              <w:fldChar w:fldCharType="end"/>
            </w:r>
            <w:r w:rsidRPr="001A2A2A">
              <w:rPr>
                <w:sz w:val="18"/>
                <w:szCs w:val="18"/>
              </w:rPr>
              <w:t xml:space="preserve"> of </w:t>
            </w:r>
            <w:r w:rsidRPr="001A2A2A">
              <w:rPr>
                <w:b/>
                <w:bCs/>
                <w:sz w:val="18"/>
                <w:szCs w:val="18"/>
              </w:rPr>
              <w:fldChar w:fldCharType="begin"/>
            </w:r>
            <w:r w:rsidRPr="001A2A2A">
              <w:rPr>
                <w:b/>
                <w:bCs/>
                <w:sz w:val="18"/>
                <w:szCs w:val="18"/>
              </w:rPr>
              <w:instrText>NUMPAGES</w:instrText>
            </w:r>
            <w:r w:rsidRPr="001A2A2A">
              <w:rPr>
                <w:b/>
                <w:bCs/>
                <w:sz w:val="18"/>
                <w:szCs w:val="18"/>
              </w:rPr>
              <w:fldChar w:fldCharType="separate"/>
            </w:r>
            <w:r w:rsidRPr="001A2A2A">
              <w:rPr>
                <w:b/>
                <w:bCs/>
                <w:sz w:val="18"/>
                <w:szCs w:val="18"/>
              </w:rPr>
              <w:t>2</w:t>
            </w:r>
            <w:r w:rsidRPr="001A2A2A">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1B1E" w14:textId="77777777" w:rsidR="002C50B5" w:rsidRDefault="002C50B5" w:rsidP="001A2A2A">
      <w:pPr>
        <w:spacing w:after="0" w:line="240" w:lineRule="auto"/>
      </w:pPr>
      <w:r>
        <w:separator/>
      </w:r>
    </w:p>
  </w:footnote>
  <w:footnote w:type="continuationSeparator" w:id="0">
    <w:p w14:paraId="5EE4D531" w14:textId="77777777" w:rsidR="002C50B5" w:rsidRDefault="002C50B5" w:rsidP="001A2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65CB" w14:textId="51419158" w:rsidR="001A2A2A" w:rsidRDefault="001A2A2A">
    <w:pPr>
      <w:pStyle w:val="Header"/>
    </w:pPr>
  </w:p>
  <w:tbl>
    <w:tblPr>
      <w:tblStyle w:val="TableGrid"/>
      <w:tblW w:w="0" w:type="auto"/>
      <w:tblLook w:val="04A0" w:firstRow="1" w:lastRow="0" w:firstColumn="1" w:lastColumn="0" w:noHBand="0" w:noVBand="1"/>
    </w:tblPr>
    <w:tblGrid>
      <w:gridCol w:w="2526"/>
      <w:gridCol w:w="4819"/>
      <w:gridCol w:w="1671"/>
    </w:tblGrid>
    <w:tr w:rsidR="001A2A2A" w14:paraId="0FC2DEFA" w14:textId="77777777" w:rsidTr="001A2A2A">
      <w:tc>
        <w:tcPr>
          <w:tcW w:w="2263" w:type="dxa"/>
        </w:tcPr>
        <w:p w14:paraId="6D29656A" w14:textId="17A67771" w:rsidR="001A2A2A" w:rsidRDefault="001A2A2A" w:rsidP="001A2A2A">
          <w:pPr>
            <w:pStyle w:val="Header"/>
            <w:jc w:val="center"/>
          </w:pPr>
          <w:r>
            <w:rPr>
              <w:noProof/>
              <w:lang w:eastAsia="en-GB"/>
            </w:rPr>
            <w:drawing>
              <wp:inline distT="0" distB="0" distL="0" distR="0" wp14:anchorId="6840F20E" wp14:editId="1E92F248">
                <wp:extent cx="1466850" cy="4857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66850" cy="485775"/>
                        </a:xfrm>
                        <a:prstGeom prst="rect">
                          <a:avLst/>
                        </a:prstGeom>
                      </pic:spPr>
                    </pic:pic>
                  </a:graphicData>
                </a:graphic>
              </wp:inline>
            </w:drawing>
          </w:r>
        </w:p>
      </w:tc>
      <w:tc>
        <w:tcPr>
          <w:tcW w:w="5082" w:type="dxa"/>
        </w:tcPr>
        <w:p w14:paraId="33E6ED13" w14:textId="77777777" w:rsidR="001A2A2A" w:rsidRPr="00CE4890" w:rsidRDefault="001A2A2A" w:rsidP="001A2A2A">
          <w:pPr>
            <w:pStyle w:val="Header"/>
            <w:jc w:val="center"/>
            <w:rPr>
              <w:sz w:val="20"/>
              <w:szCs w:val="20"/>
            </w:rPr>
          </w:pPr>
          <w:r>
            <w:rPr>
              <w:sz w:val="20"/>
              <w:szCs w:val="20"/>
            </w:rPr>
            <w:t xml:space="preserve">AVON </w:t>
          </w:r>
          <w:r w:rsidRPr="00CE4890">
            <w:rPr>
              <w:sz w:val="20"/>
              <w:szCs w:val="20"/>
            </w:rPr>
            <w:t>SCOUT COUNTY</w:t>
          </w:r>
        </w:p>
        <w:p w14:paraId="3D21B87C" w14:textId="77777777" w:rsidR="001A2A2A" w:rsidRPr="00CE4890" w:rsidRDefault="001A2A2A" w:rsidP="001A2A2A">
          <w:pPr>
            <w:pStyle w:val="Header"/>
            <w:jc w:val="center"/>
            <w:rPr>
              <w:sz w:val="20"/>
              <w:szCs w:val="20"/>
            </w:rPr>
          </w:pPr>
          <w:r w:rsidRPr="00CE4890">
            <w:rPr>
              <w:sz w:val="20"/>
              <w:szCs w:val="20"/>
            </w:rPr>
            <w:t>AND</w:t>
          </w:r>
        </w:p>
        <w:p w14:paraId="51AF4AEE" w14:textId="77777777" w:rsidR="001A2A2A" w:rsidRPr="00CE4890" w:rsidRDefault="001A2A2A" w:rsidP="001A2A2A">
          <w:pPr>
            <w:pStyle w:val="Header"/>
            <w:jc w:val="center"/>
            <w:rPr>
              <w:sz w:val="20"/>
              <w:szCs w:val="20"/>
            </w:rPr>
          </w:pPr>
          <w:r w:rsidRPr="00CE4890">
            <w:rPr>
              <w:sz w:val="20"/>
              <w:szCs w:val="20"/>
            </w:rPr>
            <w:t>GIRL GUIDING BRISTOL AND SOUTH GLOUCESTERSHIRE</w:t>
          </w:r>
        </w:p>
        <w:p w14:paraId="4CDA7D27" w14:textId="77777777" w:rsidR="001A2A2A" w:rsidRDefault="001A2A2A" w:rsidP="001A2A2A">
          <w:pPr>
            <w:pStyle w:val="NoSpacing"/>
            <w:jc w:val="center"/>
            <w:rPr>
              <w:sz w:val="52"/>
              <w:szCs w:val="52"/>
            </w:rPr>
          </w:pPr>
          <w:r>
            <w:rPr>
              <w:sz w:val="32"/>
              <w:szCs w:val="32"/>
            </w:rPr>
            <w:t>HEALTH AND SAFETY MANUAL</w:t>
          </w:r>
        </w:p>
        <w:p w14:paraId="68248E17" w14:textId="77777777" w:rsidR="001A2A2A" w:rsidRDefault="001A2A2A">
          <w:pPr>
            <w:pStyle w:val="Header"/>
          </w:pPr>
        </w:p>
      </w:tc>
      <w:tc>
        <w:tcPr>
          <w:tcW w:w="1671" w:type="dxa"/>
        </w:tcPr>
        <w:p w14:paraId="5D6BE87D" w14:textId="5229DF3F" w:rsidR="001A2A2A" w:rsidRDefault="001A2A2A" w:rsidP="001A2A2A">
          <w:pPr>
            <w:pStyle w:val="Header"/>
            <w:jc w:val="center"/>
          </w:pPr>
          <w:r>
            <w:rPr>
              <w:noProof/>
              <w:lang w:eastAsia="en-GB"/>
            </w:rPr>
            <w:drawing>
              <wp:inline distT="0" distB="0" distL="0" distR="0" wp14:anchorId="2B666182" wp14:editId="11B79391">
                <wp:extent cx="923925" cy="76993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928787" cy="773990"/>
                        </a:xfrm>
                        <a:prstGeom prst="rect">
                          <a:avLst/>
                        </a:prstGeom>
                      </pic:spPr>
                    </pic:pic>
                  </a:graphicData>
                </a:graphic>
              </wp:inline>
            </w:drawing>
          </w:r>
        </w:p>
      </w:tc>
    </w:tr>
  </w:tbl>
  <w:p w14:paraId="22DF4FAA" w14:textId="1B70CBA7" w:rsidR="001A2A2A" w:rsidRDefault="001A2A2A">
    <w:pPr>
      <w:pStyle w:val="Header"/>
    </w:pPr>
  </w:p>
  <w:p w14:paraId="61864AA9" w14:textId="77777777" w:rsidR="001A2A2A" w:rsidRDefault="001A2A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2A"/>
    <w:rsid w:val="0000781E"/>
    <w:rsid w:val="00047C41"/>
    <w:rsid w:val="00082875"/>
    <w:rsid w:val="000A4FB5"/>
    <w:rsid w:val="00134F6B"/>
    <w:rsid w:val="00182743"/>
    <w:rsid w:val="001A2A2A"/>
    <w:rsid w:val="001D16A9"/>
    <w:rsid w:val="001D17EB"/>
    <w:rsid w:val="002B3B7C"/>
    <w:rsid w:val="002C50B5"/>
    <w:rsid w:val="00351394"/>
    <w:rsid w:val="00473825"/>
    <w:rsid w:val="004D0893"/>
    <w:rsid w:val="004D41E1"/>
    <w:rsid w:val="00591E4A"/>
    <w:rsid w:val="005B32C5"/>
    <w:rsid w:val="005B3383"/>
    <w:rsid w:val="0060653F"/>
    <w:rsid w:val="00654B78"/>
    <w:rsid w:val="006D7241"/>
    <w:rsid w:val="007304FB"/>
    <w:rsid w:val="0076027A"/>
    <w:rsid w:val="00761322"/>
    <w:rsid w:val="00767798"/>
    <w:rsid w:val="00847677"/>
    <w:rsid w:val="00871FF0"/>
    <w:rsid w:val="00885839"/>
    <w:rsid w:val="008C17B5"/>
    <w:rsid w:val="008D1A30"/>
    <w:rsid w:val="00900945"/>
    <w:rsid w:val="009D30C5"/>
    <w:rsid w:val="009E28F2"/>
    <w:rsid w:val="009F5C4F"/>
    <w:rsid w:val="00A62FCF"/>
    <w:rsid w:val="00B60D9C"/>
    <w:rsid w:val="00B75146"/>
    <w:rsid w:val="00B87791"/>
    <w:rsid w:val="00C573EE"/>
    <w:rsid w:val="00D4542E"/>
    <w:rsid w:val="00D55F66"/>
    <w:rsid w:val="00DA4826"/>
    <w:rsid w:val="00E574B1"/>
    <w:rsid w:val="00E77DF9"/>
    <w:rsid w:val="00EC387A"/>
    <w:rsid w:val="00F33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5795"/>
  <w15:chartTrackingRefBased/>
  <w15:docId w15:val="{20BA22AD-73C7-4FC8-B09A-B7C775C2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2A"/>
    <w:rPr>
      <w:rFonts w:ascii="Arial" w:hAnsi="Arial"/>
      <w:kern w:val="0"/>
      <w:sz w:val="24"/>
      <w14:ligatures w14:val="none"/>
    </w:rPr>
  </w:style>
  <w:style w:type="paragraph" w:styleId="Heading1">
    <w:name w:val="heading 1"/>
    <w:basedOn w:val="Normal"/>
    <w:next w:val="Normal"/>
    <w:link w:val="Heading1Char"/>
    <w:uiPriority w:val="9"/>
    <w:qFormat/>
    <w:rsid w:val="001A2A2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A2A2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A2A2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A2A2A"/>
    <w:pPr>
      <w:keepNext/>
      <w:keepLines/>
      <w:spacing w:before="80" w:after="40"/>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1A2A2A"/>
    <w:pPr>
      <w:keepNext/>
      <w:keepLines/>
      <w:spacing w:before="80" w:after="40"/>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1A2A2A"/>
    <w:pPr>
      <w:keepNext/>
      <w:keepLines/>
      <w:spacing w:before="40" w:after="0"/>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1A2A2A"/>
    <w:pPr>
      <w:keepNext/>
      <w:keepLines/>
      <w:spacing w:before="40" w:after="0"/>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1A2A2A"/>
    <w:pPr>
      <w:keepNext/>
      <w:keepLines/>
      <w:spacing w:after="0"/>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1A2A2A"/>
    <w:pPr>
      <w:keepNext/>
      <w:keepLines/>
      <w:spacing w:after="0"/>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2A"/>
    <w:rPr>
      <w:rFonts w:eastAsiaTheme="majorEastAsia" w:cstheme="majorBidi"/>
      <w:color w:val="272727" w:themeColor="text1" w:themeTint="D8"/>
    </w:rPr>
  </w:style>
  <w:style w:type="paragraph" w:styleId="Title">
    <w:name w:val="Title"/>
    <w:basedOn w:val="Normal"/>
    <w:next w:val="Normal"/>
    <w:link w:val="TitleChar"/>
    <w:uiPriority w:val="10"/>
    <w:qFormat/>
    <w:rsid w:val="001A2A2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A2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2A"/>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2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2A"/>
    <w:pPr>
      <w:spacing w:before="160"/>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1A2A2A"/>
    <w:rPr>
      <w:i/>
      <w:iCs/>
      <w:color w:val="404040" w:themeColor="text1" w:themeTint="BF"/>
    </w:rPr>
  </w:style>
  <w:style w:type="paragraph" w:styleId="ListParagraph">
    <w:name w:val="List Paragraph"/>
    <w:basedOn w:val="Normal"/>
    <w:uiPriority w:val="34"/>
    <w:qFormat/>
    <w:rsid w:val="001A2A2A"/>
    <w:pPr>
      <w:ind w:left="720"/>
      <w:contextualSpacing/>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1A2A2A"/>
    <w:rPr>
      <w:i/>
      <w:iCs/>
      <w:color w:val="0F4761" w:themeColor="accent1" w:themeShade="BF"/>
    </w:rPr>
  </w:style>
  <w:style w:type="paragraph" w:styleId="IntenseQuote">
    <w:name w:val="Intense Quote"/>
    <w:basedOn w:val="Normal"/>
    <w:next w:val="Normal"/>
    <w:link w:val="IntenseQuoteChar"/>
    <w:uiPriority w:val="30"/>
    <w:qFormat/>
    <w:rsid w:val="001A2A2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1A2A2A"/>
    <w:rPr>
      <w:i/>
      <w:iCs/>
      <w:color w:val="0F4761" w:themeColor="accent1" w:themeShade="BF"/>
    </w:rPr>
  </w:style>
  <w:style w:type="character" w:styleId="IntenseReference">
    <w:name w:val="Intense Reference"/>
    <w:basedOn w:val="DefaultParagraphFont"/>
    <w:uiPriority w:val="32"/>
    <w:qFormat/>
    <w:rsid w:val="001A2A2A"/>
    <w:rPr>
      <w:b/>
      <w:bCs/>
      <w:smallCaps/>
      <w:color w:val="0F4761" w:themeColor="accent1" w:themeShade="BF"/>
      <w:spacing w:val="5"/>
    </w:rPr>
  </w:style>
  <w:style w:type="paragraph" w:styleId="Header">
    <w:name w:val="header"/>
    <w:basedOn w:val="Normal"/>
    <w:link w:val="HeaderChar"/>
    <w:uiPriority w:val="99"/>
    <w:unhideWhenUsed/>
    <w:rsid w:val="001A2A2A"/>
    <w:pPr>
      <w:tabs>
        <w:tab w:val="center" w:pos="4513"/>
        <w:tab w:val="right" w:pos="9026"/>
      </w:tabs>
      <w:spacing w:after="0" w:line="240" w:lineRule="auto"/>
    </w:pPr>
    <w:rPr>
      <w:rFonts w:asciiTheme="minorHAnsi" w:hAnsiTheme="minorHAnsi"/>
      <w:kern w:val="2"/>
      <w:sz w:val="22"/>
      <w14:ligatures w14:val="standardContextual"/>
    </w:rPr>
  </w:style>
  <w:style w:type="character" w:customStyle="1" w:styleId="HeaderChar">
    <w:name w:val="Header Char"/>
    <w:basedOn w:val="DefaultParagraphFont"/>
    <w:link w:val="Header"/>
    <w:uiPriority w:val="99"/>
    <w:rsid w:val="001A2A2A"/>
  </w:style>
  <w:style w:type="paragraph" w:styleId="Footer">
    <w:name w:val="footer"/>
    <w:basedOn w:val="Normal"/>
    <w:link w:val="FooterChar"/>
    <w:uiPriority w:val="99"/>
    <w:unhideWhenUsed/>
    <w:rsid w:val="001A2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A2A"/>
  </w:style>
  <w:style w:type="table" w:styleId="TableGrid">
    <w:name w:val="Table Grid"/>
    <w:basedOn w:val="TableNormal"/>
    <w:uiPriority w:val="39"/>
    <w:rsid w:val="001A2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A2A2A"/>
    <w:pPr>
      <w:spacing w:after="0" w:line="240" w:lineRule="auto"/>
    </w:pPr>
    <w:rPr>
      <w:rFonts w:ascii="Arial" w:hAnsi="Arial"/>
      <w:kern w:val="0"/>
      <w:sz w:val="24"/>
      <w14:ligatures w14:val="none"/>
    </w:rPr>
  </w:style>
  <w:style w:type="character" w:styleId="Hyperlink">
    <w:name w:val="Hyperlink"/>
    <w:basedOn w:val="DefaultParagraphFont"/>
    <w:uiPriority w:val="99"/>
    <w:unhideWhenUsed/>
    <w:rsid w:val="001A2A2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6d8405-594e-4a5c-a00d-548499cf8245">
      <Terms xmlns="http://schemas.microsoft.com/office/infopath/2007/PartnerControls"/>
    </lcf76f155ced4ddcb4097134ff3c332f>
    <TaxCatchAll xmlns="ed78e24e-df2e-401e-8609-b0b03cc1ff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509E21B9FEBA409052DB7A14E9AD55" ma:contentTypeVersion="10" ma:contentTypeDescription="Create a new document." ma:contentTypeScope="" ma:versionID="26d6e75e85f093817ee3ac07eb815f0a">
  <xsd:schema xmlns:xsd="http://www.w3.org/2001/XMLSchema" xmlns:xs="http://www.w3.org/2001/XMLSchema" xmlns:p="http://schemas.microsoft.com/office/2006/metadata/properties" xmlns:ns2="ff6d8405-594e-4a5c-a00d-548499cf8245" xmlns:ns3="ed78e24e-df2e-401e-8609-b0b03cc1ff04" targetNamespace="http://schemas.microsoft.com/office/2006/metadata/properties" ma:root="true" ma:fieldsID="df060616ffe689bea85ebfc9c3c8b525" ns2:_="" ns3:_="">
    <xsd:import namespace="ff6d8405-594e-4a5c-a00d-548499cf8245"/>
    <xsd:import namespace="ed78e24e-df2e-401e-8609-b0b03cc1f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d8405-594e-4a5c-a00d-548499cf8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a3a7deb-b9aa-4b0c-ab8d-b0c249e0c00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8e24e-df2e-401e-8609-b0b03cc1ff0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b3a15dd-8ba6-4f1f-81ca-eb3b8012831b}" ma:internalName="TaxCatchAll" ma:showField="CatchAllData" ma:web="ed78e24e-df2e-401e-8609-b0b03cc1ff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A2514C-01D1-483A-BE89-05D92D74C414}">
  <ds:schemaRefs>
    <ds:schemaRef ds:uri="http://schemas.microsoft.com/office/2006/metadata/properties"/>
    <ds:schemaRef ds:uri="http://schemas.microsoft.com/office/infopath/2007/PartnerControls"/>
    <ds:schemaRef ds:uri="ff6d8405-594e-4a5c-a00d-548499cf8245"/>
    <ds:schemaRef ds:uri="ed78e24e-df2e-401e-8609-b0b03cc1ff04"/>
  </ds:schemaRefs>
</ds:datastoreItem>
</file>

<file path=customXml/itemProps2.xml><?xml version="1.0" encoding="utf-8"?>
<ds:datastoreItem xmlns:ds="http://schemas.openxmlformats.org/officeDocument/2006/customXml" ds:itemID="{4D752A6D-E888-406D-83C2-D2548594A6DD}">
  <ds:schemaRefs>
    <ds:schemaRef ds:uri="http://schemas.microsoft.com/sharepoint/v3/contenttype/forms"/>
  </ds:schemaRefs>
</ds:datastoreItem>
</file>

<file path=customXml/itemProps3.xml><?xml version="1.0" encoding="utf-8"?>
<ds:datastoreItem xmlns:ds="http://schemas.openxmlformats.org/officeDocument/2006/customXml" ds:itemID="{0738B558-2C35-4919-9BE6-520763D1A057}">
  <ds:schemaRefs>
    <ds:schemaRef ds:uri="http://schemas.openxmlformats.org/officeDocument/2006/bibliography"/>
  </ds:schemaRefs>
</ds:datastoreItem>
</file>

<file path=customXml/itemProps4.xml><?xml version="1.0" encoding="utf-8"?>
<ds:datastoreItem xmlns:ds="http://schemas.openxmlformats.org/officeDocument/2006/customXml" ds:itemID="{AB101066-1D15-4E12-B1DF-89BF27288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6d8405-594e-4a5c-a00d-548499cf8245"/>
    <ds:schemaRef ds:uri="ed78e24e-df2e-401e-8609-b0b03cc1f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4622</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and breeda morton</dc:creator>
  <cp:keywords/>
  <dc:description/>
  <cp:lastModifiedBy>Alex Bolton</cp:lastModifiedBy>
  <cp:revision>7</cp:revision>
  <dcterms:created xsi:type="dcterms:W3CDTF">2026-01-07T13:05:00Z</dcterms:created>
  <dcterms:modified xsi:type="dcterms:W3CDTF">2026-04-08T10:20:00Z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0x010100B0509E21B9FEBA409052DB7A14E9AD55</vt:lpwstr>
  </property>
</Properties>
</file>